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006" w:rsidRPr="00141235" w:rsidRDefault="00430006" w:rsidP="00A82260">
      <w:pPr>
        <w:pStyle w:val="Sinespaciado"/>
        <w:rPr>
          <w:sz w:val="20"/>
          <w:szCs w:val="20"/>
          <w:lang w:val="es-CL" w:eastAsia="es-ES"/>
        </w:rPr>
      </w:pPr>
      <w:bookmarkStart w:id="0" w:name="_GoBack"/>
      <w:bookmarkEnd w:id="0"/>
      <w:r w:rsidRPr="00141235">
        <w:rPr>
          <w:sz w:val="20"/>
          <w:szCs w:val="20"/>
          <w:lang w:val="es-CL" w:eastAsia="es-ES"/>
        </w:rPr>
        <w:t>Universidad de Chile.</w:t>
      </w:r>
    </w:p>
    <w:p w:rsidR="00430006" w:rsidRPr="008059EC" w:rsidRDefault="00430006" w:rsidP="00430006">
      <w:pPr>
        <w:jc w:val="both"/>
        <w:rPr>
          <w:bCs/>
          <w:sz w:val="20"/>
          <w:szCs w:val="20"/>
          <w:lang w:val="es-CL" w:eastAsia="es-ES"/>
        </w:rPr>
      </w:pPr>
      <w:r w:rsidRPr="008059EC">
        <w:rPr>
          <w:bCs/>
          <w:sz w:val="20"/>
          <w:szCs w:val="20"/>
          <w:lang w:val="es-CL" w:eastAsia="es-ES"/>
        </w:rPr>
        <w:t>Facultad de Derecho.</w:t>
      </w:r>
    </w:p>
    <w:p w:rsidR="00430006" w:rsidRPr="008059EC" w:rsidRDefault="00430006" w:rsidP="00430006">
      <w:pPr>
        <w:jc w:val="both"/>
        <w:rPr>
          <w:bCs/>
          <w:sz w:val="20"/>
          <w:szCs w:val="20"/>
          <w:lang w:val="es-CL" w:eastAsia="es-ES"/>
        </w:rPr>
      </w:pPr>
      <w:r w:rsidRPr="008059EC">
        <w:rPr>
          <w:bCs/>
          <w:sz w:val="20"/>
          <w:szCs w:val="20"/>
          <w:lang w:val="es-CL" w:eastAsia="es-ES"/>
        </w:rPr>
        <w:t>Contratos Parte Especial.</w:t>
      </w:r>
    </w:p>
    <w:p w:rsidR="00430006" w:rsidRPr="008059EC" w:rsidRDefault="00430006" w:rsidP="00430006">
      <w:pPr>
        <w:jc w:val="both"/>
        <w:rPr>
          <w:bCs/>
          <w:sz w:val="20"/>
          <w:szCs w:val="20"/>
          <w:lang w:val="es-CL" w:eastAsia="es-ES"/>
        </w:rPr>
      </w:pPr>
      <w:r w:rsidRPr="008059EC">
        <w:rPr>
          <w:bCs/>
          <w:sz w:val="20"/>
          <w:szCs w:val="20"/>
          <w:lang w:val="es-CL" w:eastAsia="es-ES"/>
        </w:rPr>
        <w:t>Prof. Francisco González Hoch.</w:t>
      </w:r>
    </w:p>
    <w:p w:rsidR="00430006" w:rsidRPr="008059EC" w:rsidRDefault="00430006" w:rsidP="00430006">
      <w:pPr>
        <w:jc w:val="both"/>
        <w:rPr>
          <w:bCs/>
          <w:sz w:val="20"/>
          <w:szCs w:val="20"/>
          <w:lang w:val="es-CL" w:eastAsia="es-ES"/>
        </w:rPr>
      </w:pPr>
      <w:r w:rsidRPr="008059EC">
        <w:rPr>
          <w:bCs/>
          <w:sz w:val="20"/>
          <w:szCs w:val="20"/>
          <w:lang w:val="es-CL" w:eastAsia="es-ES"/>
        </w:rPr>
        <w:t>Andrés Rioseco López.</w:t>
      </w:r>
    </w:p>
    <w:p w:rsidR="00430006" w:rsidRPr="00141235" w:rsidRDefault="00430006" w:rsidP="00430006">
      <w:pPr>
        <w:jc w:val="both"/>
        <w:rPr>
          <w:bCs/>
          <w:sz w:val="22"/>
          <w:szCs w:val="22"/>
          <w:lang w:val="es-CL" w:eastAsia="es-ES"/>
        </w:rPr>
      </w:pPr>
    </w:p>
    <w:p w:rsidR="00430006" w:rsidRPr="00141235" w:rsidRDefault="00430006" w:rsidP="00430006">
      <w:pPr>
        <w:jc w:val="center"/>
        <w:rPr>
          <w:b/>
          <w:bCs/>
          <w:sz w:val="22"/>
          <w:szCs w:val="22"/>
          <w:lang w:val="es-CL" w:eastAsia="es-ES"/>
        </w:rPr>
      </w:pPr>
      <w:r w:rsidRPr="00141235">
        <w:rPr>
          <w:b/>
          <w:bCs/>
          <w:sz w:val="22"/>
          <w:szCs w:val="22"/>
          <w:lang w:val="es-CL" w:eastAsia="es-ES"/>
        </w:rPr>
        <w:t>Seminario I</w:t>
      </w:r>
    </w:p>
    <w:p w:rsidR="00430006" w:rsidRPr="00141235" w:rsidRDefault="00430006" w:rsidP="00430006">
      <w:pPr>
        <w:jc w:val="center"/>
        <w:rPr>
          <w:b/>
          <w:bCs/>
          <w:sz w:val="22"/>
          <w:szCs w:val="22"/>
          <w:lang w:val="es-CL" w:eastAsia="es-ES"/>
        </w:rPr>
      </w:pPr>
    </w:p>
    <w:p w:rsidR="00430006" w:rsidRPr="00141235" w:rsidRDefault="00430006" w:rsidP="00430006">
      <w:pPr>
        <w:jc w:val="center"/>
        <w:rPr>
          <w:bCs/>
          <w:i/>
          <w:sz w:val="22"/>
          <w:szCs w:val="22"/>
          <w:u w:val="single"/>
          <w:lang w:val="es-CL" w:eastAsia="es-ES"/>
        </w:rPr>
      </w:pPr>
      <w:r w:rsidRPr="00141235">
        <w:rPr>
          <w:bCs/>
          <w:i/>
          <w:sz w:val="22"/>
          <w:szCs w:val="22"/>
          <w:u w:val="single"/>
          <w:lang w:val="es-CL" w:eastAsia="es-ES"/>
        </w:rPr>
        <w:t>“Contratos preparatorios y responsabilidad precontractual”</w:t>
      </w:r>
    </w:p>
    <w:p w:rsidR="00430006" w:rsidRPr="00141235" w:rsidRDefault="00430006" w:rsidP="00430006">
      <w:pPr>
        <w:jc w:val="both"/>
        <w:rPr>
          <w:sz w:val="22"/>
          <w:szCs w:val="22"/>
          <w:lang w:val="es-CL"/>
        </w:rPr>
      </w:pPr>
    </w:p>
    <w:p w:rsidR="00430006" w:rsidRPr="00141235" w:rsidRDefault="00430006" w:rsidP="00430006">
      <w:pPr>
        <w:jc w:val="both"/>
        <w:rPr>
          <w:sz w:val="22"/>
          <w:szCs w:val="22"/>
          <w:lang w:val="es-CL"/>
        </w:rPr>
      </w:pPr>
      <w:r w:rsidRPr="00141235">
        <w:rPr>
          <w:sz w:val="22"/>
          <w:szCs w:val="22"/>
          <w:lang w:val="es-CL"/>
        </w:rPr>
        <w:t>Jesús Derval es dueño de una fábrica de telas y de</w:t>
      </w:r>
      <w:r w:rsidR="00F025F3" w:rsidRPr="00141235">
        <w:rPr>
          <w:sz w:val="22"/>
          <w:szCs w:val="22"/>
          <w:lang w:val="es-CL"/>
        </w:rPr>
        <w:t>l</w:t>
      </w:r>
      <w:r w:rsidRPr="00141235">
        <w:rPr>
          <w:sz w:val="22"/>
          <w:szCs w:val="22"/>
          <w:lang w:val="es-CL"/>
        </w:rPr>
        <w:t xml:space="preserve"> inmueble donde funciona</w:t>
      </w:r>
      <w:r w:rsidR="00F025F3" w:rsidRPr="00141235">
        <w:rPr>
          <w:sz w:val="22"/>
          <w:szCs w:val="22"/>
          <w:lang w:val="es-CL"/>
        </w:rPr>
        <w:t>.</w:t>
      </w:r>
      <w:r w:rsidRPr="00141235">
        <w:rPr>
          <w:sz w:val="22"/>
          <w:szCs w:val="22"/>
          <w:lang w:val="es-CL"/>
        </w:rPr>
        <w:t xml:space="preserve"> </w:t>
      </w:r>
      <w:r w:rsidR="00F025F3" w:rsidRPr="00141235">
        <w:rPr>
          <w:sz w:val="22"/>
          <w:szCs w:val="22"/>
          <w:lang w:val="es-CL"/>
        </w:rPr>
        <w:t>C</w:t>
      </w:r>
      <w:r w:rsidRPr="00141235">
        <w:rPr>
          <w:sz w:val="22"/>
          <w:szCs w:val="22"/>
          <w:lang w:val="es-CL"/>
        </w:rPr>
        <w:t>ansado de la competencia con las telas traídas desde Oriente, decide cambiar de rubro y vender todo para cumplir el sueño de toda su vida: montar una galería de arte.</w:t>
      </w:r>
    </w:p>
    <w:p w:rsidR="00430006" w:rsidRPr="00141235" w:rsidRDefault="00430006" w:rsidP="00430006">
      <w:pPr>
        <w:jc w:val="both"/>
        <w:rPr>
          <w:sz w:val="22"/>
          <w:szCs w:val="22"/>
          <w:lang w:val="es-CL"/>
        </w:rPr>
      </w:pPr>
    </w:p>
    <w:p w:rsidR="00430006" w:rsidRPr="00141235" w:rsidRDefault="00430006" w:rsidP="00430006">
      <w:pPr>
        <w:jc w:val="both"/>
        <w:rPr>
          <w:bCs/>
          <w:sz w:val="22"/>
          <w:szCs w:val="22"/>
          <w:lang w:val="es-CL" w:eastAsia="es-ES"/>
        </w:rPr>
      </w:pPr>
      <w:r w:rsidRPr="00141235">
        <w:rPr>
          <w:sz w:val="22"/>
          <w:szCs w:val="22"/>
          <w:lang w:val="es-CL"/>
        </w:rPr>
        <w:t>Derval publica avisos en los diarios y es llamado por Pedro Nazur</w:t>
      </w:r>
      <w:r w:rsidR="00F025F3" w:rsidRPr="00141235">
        <w:rPr>
          <w:sz w:val="22"/>
          <w:szCs w:val="22"/>
          <w:lang w:val="es-CL"/>
        </w:rPr>
        <w:t>,</w:t>
      </w:r>
      <w:r w:rsidRPr="00141235">
        <w:rPr>
          <w:sz w:val="22"/>
          <w:szCs w:val="22"/>
          <w:lang w:val="es-CL"/>
        </w:rPr>
        <w:t xml:space="preserve"> un acaudalado empresario textil cuya familia por generaciones se ha dedicado a la confección de telas. </w:t>
      </w:r>
      <w:r w:rsidRPr="00141235">
        <w:rPr>
          <w:bCs/>
          <w:sz w:val="22"/>
          <w:szCs w:val="22"/>
          <w:lang w:val="es-CL" w:eastAsia="es-ES"/>
        </w:rPr>
        <w:t xml:space="preserve">Toman contacto por intermedio de sus abogados y las negociaciones avanzan hacia buen puerto, de modo tal que el día 24 de noviembre de 2012 acuerdan celebrar una promesa de venta sobre el inmueble (por dos millones de dólares) y una opción de compra por los efectos de comercio (por un millón de dólares). </w:t>
      </w:r>
    </w:p>
    <w:p w:rsidR="00430006" w:rsidRPr="00141235" w:rsidRDefault="00430006" w:rsidP="00430006">
      <w:pPr>
        <w:jc w:val="both"/>
        <w:rPr>
          <w:sz w:val="22"/>
          <w:szCs w:val="22"/>
          <w:lang w:val="es-CL"/>
        </w:rPr>
      </w:pPr>
      <w:r w:rsidRPr="00141235">
        <w:rPr>
          <w:sz w:val="22"/>
          <w:szCs w:val="22"/>
          <w:lang w:val="es-CL"/>
        </w:rPr>
        <w:br/>
        <w:t>El día 25 de noviembre un amigo de Jesús Derval lo llama para contarle que una obra de un importantísimo artista iba a ser rematada a un precio inmejorable. Derval, confiado en la celebración de los contratos y en el éxito de su galería, solicita un crédito al Banco Amigo por 10 millones de dólares para comprar la obra.</w:t>
      </w:r>
    </w:p>
    <w:p w:rsidR="00430006" w:rsidRPr="00141235" w:rsidRDefault="00430006" w:rsidP="00430006">
      <w:pPr>
        <w:jc w:val="both"/>
        <w:rPr>
          <w:sz w:val="22"/>
          <w:szCs w:val="22"/>
          <w:lang w:val="es-CL"/>
        </w:rPr>
      </w:pPr>
    </w:p>
    <w:p w:rsidR="00430006" w:rsidRPr="00141235" w:rsidRDefault="00430006" w:rsidP="00430006">
      <w:pPr>
        <w:jc w:val="both"/>
        <w:rPr>
          <w:sz w:val="22"/>
          <w:szCs w:val="22"/>
          <w:lang w:val="es-CL"/>
        </w:rPr>
      </w:pPr>
      <w:r w:rsidRPr="00141235">
        <w:rPr>
          <w:sz w:val="22"/>
          <w:szCs w:val="22"/>
          <w:lang w:val="es-CL"/>
        </w:rPr>
        <w:t>El 27 de noviembre Pedro Nazur llama a don Jesús Derval para comunicarle que no iba a celebrar ningún contrato, pues hace algunos días había tenido una epifanía sobre su futuro, así que iba emprender un viaje espiritual a India sin fecha de regreso.</w:t>
      </w:r>
    </w:p>
    <w:p w:rsidR="00430006" w:rsidRPr="00141235" w:rsidRDefault="00430006" w:rsidP="00430006">
      <w:pPr>
        <w:jc w:val="both"/>
        <w:rPr>
          <w:sz w:val="22"/>
          <w:szCs w:val="22"/>
          <w:lang w:val="es-CL"/>
        </w:rPr>
      </w:pPr>
    </w:p>
    <w:p w:rsidR="00430006" w:rsidRPr="00141235" w:rsidRDefault="00430006" w:rsidP="00430006">
      <w:pPr>
        <w:jc w:val="both"/>
        <w:rPr>
          <w:bCs/>
          <w:sz w:val="22"/>
          <w:szCs w:val="22"/>
          <w:lang w:val="es-CL" w:eastAsia="es-ES"/>
        </w:rPr>
      </w:pPr>
      <w:r w:rsidRPr="00141235">
        <w:rPr>
          <w:bCs/>
          <w:sz w:val="22"/>
          <w:szCs w:val="22"/>
          <w:lang w:val="es-CL" w:eastAsia="es-ES"/>
        </w:rPr>
        <w:t xml:space="preserve">Ante esta situación y después de meses de pérdidas en el negocio de las artes debido a su nula experiencia y </w:t>
      </w:r>
      <w:r w:rsidR="00F025F3" w:rsidRPr="00141235">
        <w:rPr>
          <w:bCs/>
          <w:sz w:val="22"/>
          <w:szCs w:val="22"/>
          <w:lang w:val="es-CL" w:eastAsia="es-ES"/>
        </w:rPr>
        <w:t xml:space="preserve"> a la ausencia</w:t>
      </w:r>
      <w:r w:rsidRPr="00141235">
        <w:rPr>
          <w:bCs/>
          <w:sz w:val="22"/>
          <w:szCs w:val="22"/>
          <w:lang w:val="es-CL" w:eastAsia="es-ES"/>
        </w:rPr>
        <w:t xml:space="preserve"> </w:t>
      </w:r>
      <w:r w:rsidR="00F025F3" w:rsidRPr="00141235">
        <w:rPr>
          <w:bCs/>
          <w:sz w:val="22"/>
          <w:szCs w:val="22"/>
          <w:lang w:val="es-CL" w:eastAsia="es-ES"/>
        </w:rPr>
        <w:t xml:space="preserve">de </w:t>
      </w:r>
      <w:r w:rsidRPr="00141235">
        <w:rPr>
          <w:bCs/>
          <w:sz w:val="22"/>
          <w:szCs w:val="22"/>
          <w:lang w:val="es-CL" w:eastAsia="es-ES"/>
        </w:rPr>
        <w:t>oferente</w:t>
      </w:r>
      <w:r w:rsidR="00F025F3" w:rsidRPr="00141235">
        <w:rPr>
          <w:bCs/>
          <w:sz w:val="22"/>
          <w:szCs w:val="22"/>
          <w:lang w:val="es-CL" w:eastAsia="es-ES"/>
        </w:rPr>
        <w:t>s</w:t>
      </w:r>
      <w:r w:rsidRPr="00141235">
        <w:rPr>
          <w:bCs/>
          <w:sz w:val="22"/>
          <w:szCs w:val="22"/>
          <w:lang w:val="es-CL" w:eastAsia="es-ES"/>
        </w:rPr>
        <w:t xml:space="preserve"> para comprar el inmueble y los efectos de comercio</w:t>
      </w:r>
      <w:r w:rsidR="00F025F3" w:rsidRPr="00141235">
        <w:rPr>
          <w:bCs/>
          <w:sz w:val="22"/>
          <w:szCs w:val="22"/>
          <w:lang w:val="es-CL" w:eastAsia="es-ES"/>
        </w:rPr>
        <w:t xml:space="preserve"> de la fábrica de telas</w:t>
      </w:r>
      <w:r w:rsidRPr="00141235">
        <w:rPr>
          <w:bCs/>
          <w:sz w:val="22"/>
          <w:szCs w:val="22"/>
          <w:lang w:val="es-CL" w:eastAsia="es-ES"/>
        </w:rPr>
        <w:t>, la sociedad dueña de éstos, de la que a su vez es dueño el Sr. Derval es declarada en quiebra.</w:t>
      </w:r>
    </w:p>
    <w:p w:rsidR="00430006" w:rsidRPr="00141235" w:rsidRDefault="00430006" w:rsidP="00430006">
      <w:pPr>
        <w:jc w:val="both"/>
        <w:rPr>
          <w:bCs/>
          <w:sz w:val="22"/>
          <w:szCs w:val="22"/>
          <w:lang w:val="es-CL" w:eastAsia="es-ES"/>
        </w:rPr>
      </w:pPr>
    </w:p>
    <w:p w:rsidR="00430006" w:rsidRPr="00141235" w:rsidRDefault="00430006" w:rsidP="00430006">
      <w:pPr>
        <w:jc w:val="both"/>
        <w:rPr>
          <w:bCs/>
          <w:sz w:val="22"/>
          <w:szCs w:val="22"/>
          <w:u w:val="single"/>
          <w:lang w:val="es-CL" w:eastAsia="es-ES"/>
        </w:rPr>
      </w:pPr>
      <w:r w:rsidRPr="00141235">
        <w:rPr>
          <w:bCs/>
          <w:sz w:val="22"/>
          <w:szCs w:val="22"/>
          <w:u w:val="single"/>
          <w:lang w:val="es-CL" w:eastAsia="es-ES"/>
        </w:rPr>
        <w:t>Preguntas</w:t>
      </w:r>
    </w:p>
    <w:p w:rsidR="00430006" w:rsidRPr="00141235" w:rsidRDefault="00430006" w:rsidP="00430006">
      <w:pPr>
        <w:jc w:val="both"/>
        <w:rPr>
          <w:bCs/>
          <w:sz w:val="22"/>
          <w:szCs w:val="22"/>
          <w:lang w:val="es-CL" w:eastAsia="es-ES"/>
        </w:rPr>
      </w:pPr>
    </w:p>
    <w:p w:rsidR="00430006" w:rsidRPr="00141235" w:rsidRDefault="00430006" w:rsidP="00430006">
      <w:pPr>
        <w:numPr>
          <w:ilvl w:val="0"/>
          <w:numId w:val="1"/>
        </w:numPr>
        <w:jc w:val="both"/>
        <w:rPr>
          <w:bCs/>
          <w:sz w:val="22"/>
          <w:szCs w:val="22"/>
          <w:u w:val="single"/>
          <w:lang w:val="es-CL" w:eastAsia="es-ES"/>
        </w:rPr>
      </w:pPr>
      <w:r w:rsidRPr="00141235">
        <w:rPr>
          <w:bCs/>
          <w:sz w:val="22"/>
          <w:szCs w:val="22"/>
          <w:lang w:val="es-CL" w:eastAsia="es-ES"/>
        </w:rPr>
        <w:t>¿Qué habría ocurrido en caso de celebrar los contratos referidos? ¿Cómo habría ejecutado cada uno de ellos?</w:t>
      </w:r>
    </w:p>
    <w:p w:rsidR="00430006" w:rsidRPr="008059EC" w:rsidRDefault="00430006" w:rsidP="00430006">
      <w:pPr>
        <w:pStyle w:val="Prrafodelista"/>
        <w:spacing w:after="0" w:line="240" w:lineRule="auto"/>
        <w:rPr>
          <w:rFonts w:ascii="Times New Roman" w:hAnsi="Times New Roman"/>
          <w:bCs/>
          <w:u w:val="single"/>
          <w:lang w:eastAsia="es-ES"/>
        </w:rPr>
      </w:pPr>
    </w:p>
    <w:p w:rsidR="00430006" w:rsidRPr="00141235" w:rsidRDefault="00430006" w:rsidP="00430006">
      <w:pPr>
        <w:numPr>
          <w:ilvl w:val="0"/>
          <w:numId w:val="1"/>
        </w:numPr>
        <w:jc w:val="both"/>
        <w:rPr>
          <w:bCs/>
          <w:sz w:val="22"/>
          <w:szCs w:val="22"/>
          <w:u w:val="single"/>
          <w:lang w:val="es-CL" w:eastAsia="es-ES"/>
        </w:rPr>
      </w:pPr>
      <w:r w:rsidRPr="00141235">
        <w:rPr>
          <w:bCs/>
          <w:sz w:val="22"/>
          <w:szCs w:val="22"/>
          <w:lang w:val="es-CL" w:eastAsia="es-ES"/>
        </w:rPr>
        <w:t xml:space="preserve">Explique, si usted hubiese sido abogado de don Jesús Derval, qué estrategia de negocios le hubiese sugerido, en atención a la legislación vigente, la doctrina y la jurisprudencia. </w:t>
      </w:r>
    </w:p>
    <w:p w:rsidR="00430006" w:rsidRPr="00141235" w:rsidRDefault="00430006" w:rsidP="00430006">
      <w:pPr>
        <w:jc w:val="both"/>
        <w:rPr>
          <w:sz w:val="22"/>
          <w:szCs w:val="22"/>
          <w:lang w:val="es-CL"/>
        </w:rPr>
      </w:pPr>
    </w:p>
    <w:p w:rsidR="00430006" w:rsidRPr="008059EC" w:rsidRDefault="00430006" w:rsidP="00430006">
      <w:pPr>
        <w:pStyle w:val="Prrafodelista"/>
        <w:numPr>
          <w:ilvl w:val="0"/>
          <w:numId w:val="1"/>
        </w:numPr>
        <w:jc w:val="both"/>
        <w:rPr>
          <w:rFonts w:ascii="Times New Roman" w:hAnsi="Times New Roman"/>
        </w:rPr>
      </w:pPr>
      <w:r w:rsidRPr="008059EC">
        <w:rPr>
          <w:rFonts w:ascii="Times New Roman" w:hAnsi="Times New Roman"/>
        </w:rPr>
        <w:t>¿Procede la responsabilidad precontractual? Refiérase a los criterios que ha utilizado la Corte Suprema para concederla.</w:t>
      </w:r>
    </w:p>
    <w:p w:rsidR="00EF1967" w:rsidRPr="00430006" w:rsidRDefault="00920078">
      <w:pPr>
        <w:rPr>
          <w:lang w:val="es-CL"/>
        </w:rPr>
      </w:pPr>
    </w:p>
    <w:sectPr w:rsidR="00EF1967" w:rsidRPr="00430006" w:rsidSect="00D67AF3">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078" w:rsidRDefault="00920078" w:rsidP="00430006">
      <w:r>
        <w:separator/>
      </w:r>
    </w:p>
  </w:endnote>
  <w:endnote w:type="continuationSeparator" w:id="0">
    <w:p w:rsidR="00920078" w:rsidRDefault="00920078" w:rsidP="00430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006" w:rsidRDefault="00430006">
    <w:pPr>
      <w:pStyle w:val="Piedepgina"/>
      <w:jc w:val="center"/>
    </w:pPr>
  </w:p>
  <w:p w:rsidR="00430006" w:rsidRDefault="0043000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078" w:rsidRDefault="00920078" w:rsidP="00430006">
      <w:r>
        <w:separator/>
      </w:r>
    </w:p>
  </w:footnote>
  <w:footnote w:type="continuationSeparator" w:id="0">
    <w:p w:rsidR="00920078" w:rsidRDefault="00920078" w:rsidP="004300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4077B3"/>
    <w:multiLevelType w:val="hybridMultilevel"/>
    <w:tmpl w:val="BD0ACD3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006"/>
    <w:rsid w:val="00141235"/>
    <w:rsid w:val="00166191"/>
    <w:rsid w:val="00430006"/>
    <w:rsid w:val="004B0CBF"/>
    <w:rsid w:val="00591351"/>
    <w:rsid w:val="008059EC"/>
    <w:rsid w:val="00920078"/>
    <w:rsid w:val="00965D67"/>
    <w:rsid w:val="00A82260"/>
    <w:rsid w:val="00AE28D8"/>
    <w:rsid w:val="00C71B1B"/>
    <w:rsid w:val="00C71C07"/>
    <w:rsid w:val="00D67AF3"/>
    <w:rsid w:val="00E30FDE"/>
    <w:rsid w:val="00F02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006"/>
    <w:pPr>
      <w:spacing w:after="0" w:line="240" w:lineRule="auto"/>
    </w:pPr>
    <w:rPr>
      <w:rFonts w:ascii="Times New Roman" w:eastAsia="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30006"/>
    <w:pPr>
      <w:spacing w:after="200" w:line="276" w:lineRule="auto"/>
      <w:ind w:left="720"/>
      <w:contextualSpacing/>
    </w:pPr>
    <w:rPr>
      <w:rFonts w:ascii="Calibri" w:eastAsia="Calibri" w:hAnsi="Calibri"/>
      <w:sz w:val="22"/>
      <w:szCs w:val="22"/>
      <w:lang w:val="es-CL" w:eastAsia="en-US"/>
    </w:rPr>
  </w:style>
  <w:style w:type="paragraph" w:styleId="Encabezado">
    <w:name w:val="header"/>
    <w:basedOn w:val="Normal"/>
    <w:link w:val="EncabezadoCar"/>
    <w:uiPriority w:val="99"/>
    <w:unhideWhenUsed/>
    <w:rsid w:val="00430006"/>
    <w:pPr>
      <w:tabs>
        <w:tab w:val="center" w:pos="4419"/>
        <w:tab w:val="right" w:pos="8838"/>
      </w:tabs>
    </w:pPr>
  </w:style>
  <w:style w:type="character" w:customStyle="1" w:styleId="EncabezadoCar">
    <w:name w:val="Encabezado Car"/>
    <w:basedOn w:val="Fuentedeprrafopredeter"/>
    <w:link w:val="Encabezado"/>
    <w:uiPriority w:val="99"/>
    <w:rsid w:val="00430006"/>
    <w:rPr>
      <w:rFonts w:ascii="Times New Roman" w:eastAsia="Times New Roman" w:hAnsi="Times New Roman" w:cs="Times New Roman"/>
      <w:sz w:val="24"/>
      <w:szCs w:val="24"/>
      <w:lang w:val="es-ES_tradnl" w:eastAsia="es-ES_tradnl"/>
    </w:rPr>
  </w:style>
  <w:style w:type="paragraph" w:styleId="Piedepgina">
    <w:name w:val="footer"/>
    <w:basedOn w:val="Normal"/>
    <w:link w:val="PiedepginaCar"/>
    <w:uiPriority w:val="99"/>
    <w:unhideWhenUsed/>
    <w:rsid w:val="00430006"/>
    <w:pPr>
      <w:tabs>
        <w:tab w:val="center" w:pos="4419"/>
        <w:tab w:val="right" w:pos="8838"/>
      </w:tabs>
    </w:pPr>
  </w:style>
  <w:style w:type="character" w:customStyle="1" w:styleId="PiedepginaCar">
    <w:name w:val="Pie de página Car"/>
    <w:basedOn w:val="Fuentedeprrafopredeter"/>
    <w:link w:val="Piedepgina"/>
    <w:uiPriority w:val="99"/>
    <w:rsid w:val="00430006"/>
    <w:rPr>
      <w:rFonts w:ascii="Times New Roman" w:eastAsia="Times New Roman" w:hAnsi="Times New Roman" w:cs="Times New Roman"/>
      <w:sz w:val="24"/>
      <w:szCs w:val="24"/>
      <w:lang w:val="es-ES_tradnl" w:eastAsia="es-ES_tradnl"/>
    </w:rPr>
  </w:style>
  <w:style w:type="paragraph" w:styleId="Sinespaciado">
    <w:name w:val="No Spacing"/>
    <w:uiPriority w:val="1"/>
    <w:qFormat/>
    <w:rsid w:val="00A82260"/>
    <w:pPr>
      <w:spacing w:after="0" w:line="240" w:lineRule="auto"/>
    </w:pPr>
    <w:rPr>
      <w:rFonts w:ascii="Times New Roman" w:eastAsia="Times New Roman" w:hAnsi="Times New Roman" w:cs="Times New Roman"/>
      <w:sz w:val="24"/>
      <w:szCs w:val="24"/>
      <w:lang w:val="es-ES_tradnl" w:eastAsia="es-ES_tradnl"/>
    </w:rPr>
  </w:style>
  <w:style w:type="paragraph" w:styleId="Textodeglobo">
    <w:name w:val="Balloon Text"/>
    <w:basedOn w:val="Normal"/>
    <w:link w:val="TextodegloboCar"/>
    <w:uiPriority w:val="99"/>
    <w:semiHidden/>
    <w:unhideWhenUsed/>
    <w:rsid w:val="00A82260"/>
    <w:rPr>
      <w:rFonts w:ascii="Tahoma" w:hAnsi="Tahoma" w:cs="Tahoma"/>
      <w:sz w:val="16"/>
      <w:szCs w:val="16"/>
    </w:rPr>
  </w:style>
  <w:style w:type="character" w:customStyle="1" w:styleId="TextodegloboCar">
    <w:name w:val="Texto de globo Car"/>
    <w:basedOn w:val="Fuentedeprrafopredeter"/>
    <w:link w:val="Textodeglobo"/>
    <w:uiPriority w:val="99"/>
    <w:semiHidden/>
    <w:rsid w:val="00A82260"/>
    <w:rPr>
      <w:rFonts w:ascii="Tahoma" w:eastAsia="Times New Roman" w:hAnsi="Tahoma" w:cs="Tahoma"/>
      <w:sz w:val="16"/>
      <w:szCs w:val="16"/>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006"/>
    <w:pPr>
      <w:spacing w:after="0" w:line="240" w:lineRule="auto"/>
    </w:pPr>
    <w:rPr>
      <w:rFonts w:ascii="Times New Roman" w:eastAsia="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30006"/>
    <w:pPr>
      <w:spacing w:after="200" w:line="276" w:lineRule="auto"/>
      <w:ind w:left="720"/>
      <w:contextualSpacing/>
    </w:pPr>
    <w:rPr>
      <w:rFonts w:ascii="Calibri" w:eastAsia="Calibri" w:hAnsi="Calibri"/>
      <w:sz w:val="22"/>
      <w:szCs w:val="22"/>
      <w:lang w:val="es-CL" w:eastAsia="en-US"/>
    </w:rPr>
  </w:style>
  <w:style w:type="paragraph" w:styleId="Encabezado">
    <w:name w:val="header"/>
    <w:basedOn w:val="Normal"/>
    <w:link w:val="EncabezadoCar"/>
    <w:uiPriority w:val="99"/>
    <w:unhideWhenUsed/>
    <w:rsid w:val="00430006"/>
    <w:pPr>
      <w:tabs>
        <w:tab w:val="center" w:pos="4419"/>
        <w:tab w:val="right" w:pos="8838"/>
      </w:tabs>
    </w:pPr>
  </w:style>
  <w:style w:type="character" w:customStyle="1" w:styleId="EncabezadoCar">
    <w:name w:val="Encabezado Car"/>
    <w:basedOn w:val="Fuentedeprrafopredeter"/>
    <w:link w:val="Encabezado"/>
    <w:uiPriority w:val="99"/>
    <w:rsid w:val="00430006"/>
    <w:rPr>
      <w:rFonts w:ascii="Times New Roman" w:eastAsia="Times New Roman" w:hAnsi="Times New Roman" w:cs="Times New Roman"/>
      <w:sz w:val="24"/>
      <w:szCs w:val="24"/>
      <w:lang w:val="es-ES_tradnl" w:eastAsia="es-ES_tradnl"/>
    </w:rPr>
  </w:style>
  <w:style w:type="paragraph" w:styleId="Piedepgina">
    <w:name w:val="footer"/>
    <w:basedOn w:val="Normal"/>
    <w:link w:val="PiedepginaCar"/>
    <w:uiPriority w:val="99"/>
    <w:unhideWhenUsed/>
    <w:rsid w:val="00430006"/>
    <w:pPr>
      <w:tabs>
        <w:tab w:val="center" w:pos="4419"/>
        <w:tab w:val="right" w:pos="8838"/>
      </w:tabs>
    </w:pPr>
  </w:style>
  <w:style w:type="character" w:customStyle="1" w:styleId="PiedepginaCar">
    <w:name w:val="Pie de página Car"/>
    <w:basedOn w:val="Fuentedeprrafopredeter"/>
    <w:link w:val="Piedepgina"/>
    <w:uiPriority w:val="99"/>
    <w:rsid w:val="00430006"/>
    <w:rPr>
      <w:rFonts w:ascii="Times New Roman" w:eastAsia="Times New Roman" w:hAnsi="Times New Roman" w:cs="Times New Roman"/>
      <w:sz w:val="24"/>
      <w:szCs w:val="24"/>
      <w:lang w:val="es-ES_tradnl" w:eastAsia="es-ES_tradnl"/>
    </w:rPr>
  </w:style>
  <w:style w:type="paragraph" w:styleId="Sinespaciado">
    <w:name w:val="No Spacing"/>
    <w:uiPriority w:val="1"/>
    <w:qFormat/>
    <w:rsid w:val="00A82260"/>
    <w:pPr>
      <w:spacing w:after="0" w:line="240" w:lineRule="auto"/>
    </w:pPr>
    <w:rPr>
      <w:rFonts w:ascii="Times New Roman" w:eastAsia="Times New Roman" w:hAnsi="Times New Roman" w:cs="Times New Roman"/>
      <w:sz w:val="24"/>
      <w:szCs w:val="24"/>
      <w:lang w:val="es-ES_tradnl" w:eastAsia="es-ES_tradnl"/>
    </w:rPr>
  </w:style>
  <w:style w:type="paragraph" w:styleId="Textodeglobo">
    <w:name w:val="Balloon Text"/>
    <w:basedOn w:val="Normal"/>
    <w:link w:val="TextodegloboCar"/>
    <w:uiPriority w:val="99"/>
    <w:semiHidden/>
    <w:unhideWhenUsed/>
    <w:rsid w:val="00A82260"/>
    <w:rPr>
      <w:rFonts w:ascii="Tahoma" w:hAnsi="Tahoma" w:cs="Tahoma"/>
      <w:sz w:val="16"/>
      <w:szCs w:val="16"/>
    </w:rPr>
  </w:style>
  <w:style w:type="character" w:customStyle="1" w:styleId="TextodegloboCar">
    <w:name w:val="Texto de globo Car"/>
    <w:basedOn w:val="Fuentedeprrafopredeter"/>
    <w:link w:val="Textodeglobo"/>
    <w:uiPriority w:val="99"/>
    <w:semiHidden/>
    <w:rsid w:val="00A82260"/>
    <w:rPr>
      <w:rFonts w:ascii="Tahoma" w:eastAsia="Times New Roman" w:hAnsi="Tahoma" w:cs="Tahoma"/>
      <w:sz w:val="16"/>
      <w:szCs w:val="16"/>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25626E-A0E0-4529-9509-CECF5047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1884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dc:creator>
  <cp:lastModifiedBy>Matias Carrasco</cp:lastModifiedBy>
  <cp:revision>2</cp:revision>
  <dcterms:created xsi:type="dcterms:W3CDTF">2012-09-06T19:39:00Z</dcterms:created>
  <dcterms:modified xsi:type="dcterms:W3CDTF">2012-09-06T19:39:00Z</dcterms:modified>
</cp:coreProperties>
</file>